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105</w:t>
      </w:r>
    </w:p>
    <w:p>
      <w:r>
        <w:t>Bundesgericht (BGE), 2008-03-06, DE</w:t>
      </w:r>
    </w:p>
    <w:p>
      <w:r>
        <w:rPr>
          <w:b/>
        </w:rPr>
        <w:t xml:space="preserve">Quelle: </w:t>
      </w:r>
      <w:r>
        <w:t>https://mcp.opencaselaw.ch/entscheid/bge_134 I 105</w:t>
      </w:r>
    </w:p>
    <w:p>
      <w:r>
        <w:t>FR: ATF 134 I 105</w:t>
      </w:r>
    </w:p>
    <w:p>
      <w:r>
        <w:t>IT: DTF 134 I 105</w:t>
      </w:r>
    </w:p>
    <w:p>
      <w:pPr>
        <w:pStyle w:val="Heading2"/>
      </w:pPr>
      <w:r>
        <w:t>Regeste</w:t>
      </w:r>
    </w:p>
    <w:p>
      <w:r>
        <w:t>Regeste Art. 8 EMRK; Art. 8 Abs. 2 und 4, Art. 14 und 190 BV; Art. 21 Abs. 2 und 4 IVG; Art. 14 IVV; Art. 2 HVI; Ziff. 14.01, 14.04 und 14.05 HVI Anhang; Kostenübernahme für behinderungsgerechte Anpassungen an einer zweiten Wohnung. Der 1991 geborene Sohn ist seit 2003 Paraplegiker. Er wohnt bei der Mutter in M. und verbringt jedes zweite Wochenende und einen Teil seiner Schulferien in S. bei Vater und Schwester. Die Invalidenversicherung hat sich auch an den Kosten der Anpassungen am Wohnhaus in S. zu beteiligen, wenn ohne behinderungsgerechten Umbau der grundrechtlich geschützte Aufenthalt beim Vater völlig verunmöglicht würde. Da es sich um die zweite vom Versicherten benutzte Wohnung handelt, besteht nur Anspruch auf Anpassung in einfachster Ausführung, welche unter Berücksichtigung der dem Vater zumutbaren Hilfestellungen den Aufenthalt im Haus gerade noch ermöglicht (E. 4-8).</w:t>
      </w:r>
    </w:p>
    <w:p>
      <w:pPr>
        <w:pStyle w:val="Heading2"/>
      </w:pPr>
      <w:r>
        <w:t>Erwägungen</w:t>
      </w:r>
    </w:p>
    <w:p>
      <w:r>
        <w:rPr>
          <w:b/>
        </w:rPr>
        <w:t>E. 3</w:t>
      </w:r>
    </w:p>
    <w:p>
      <w:r>
        <w:t>Der Bundesrat hat in Art. 14 der Verordnung vom 17. Januar 1961 über die Invalidenversicherung (IVV; SR 831.201) die ihm durch Art. 21 Abs. 2 und 4 des Bundesgesetzes vom 19. Juni 1959 über die Invalidenversicherung (IVG; SR 831.20) übertragene Befugnis, einschliesslich derjenigen zum Erlass näherer Bestimmungen über Beiträge an die Kosten invaliditätsbedingter Anpassungen von Geräten und Immobilien, an das Eidg. Departement des Innern subdelegiert, welches die Verordnung vom 29. November 1976 über die Abgabe von Hilfsmitteln durch die Invalidenversicherung (HVI; SR 831.232.51) erlassen hat. Die beantragten Eingliederungsmassnahmen fallen grundsätzlich unter Ziff. 14.01, 14.04 und 14.05 HVI Anhang. Fraglich ist, ob solche Hilfsmittel für die Selbstsorge in einer zweiten Wohnung, in der der Versicherte einen Teil seines Lebens verbringt, ebenfalls bezahlt werden müssen. Aus Ziff. 14 HVI Anhang ergibt sich nicht ausdrücklich, ob die Leistungen nur für eine Wohnung oder allenfalls auch für zwei erbracht werden können. Die Frage ist in erster Linie im Lichte von Art. 21 Abs. 2 IVG bzw. Art. 2 HVI zu beantworten: Die vorinstanzliche Argumentation, dass die Hilfsmittelregelung nicht eine optimale, sondern nur eine Grundversorgung deckt, entspricht der gesetzlichen Regelung, denn auch Leistungen, die im Anhang aufgeführt sind, werden nicht ohne weiteres, sondern nur soweit erforderlich und nur in einfacher und zweckmässiger Ausführung erbracht ( Art. 21 Abs. 2 IVG ; Art. 2 Abs. 4 HVI ). Die Invalidenversicherung ist, auch im Bereich der Hilfsmittel, keine umfassende Versicherung, welche sämtliche durch die Invalidität verursachten Kosten BGE 134 I 105 S. 108 abdecken will; das Gesetz will die Eingliederung lediglich soweit sicherstellen, als diese im Einzelfall notwendig, aber auch genügend ist und zudem der voraussichtliche Erfolg der Eingliederungsmassnahme in einem vernünftigen Verhältnis zu ihren Kosten steht ( Art. 8 Abs. 1 IVG ; BGE 131 V 9 E. 3.6 S. 19; BGE 130 V 163 E. 4.3.3 S. 173; BGE 121 V 258 E. 2c; ZAK 1986 S. 336, E. 2d, I 480/84). Auch im Wohnbereich werden nicht alle behinderungsbedingten Mehrkosten entschädigt, sondern nur bestimmte, abschliessend aufgezählte Massnahmen ( BGE 131 V 9 E. 3.4.2 S. 14; BGE 121 V 258 E. 2b S. 260; BGE 104 V 88 E. 3d), was grundsätzlich gesetz- und verfassungsmässig ist (Urteile des Eidg. Versicherungsgerichts I 566/03 vom 24. April 2003, E. 4, und I 267/00 vom 15. Januar 2001, E. 5).</w:t>
      </w:r>
    </w:p>
    <w:p>
      <w:r>
        <w:rPr>
          <w:b/>
        </w:rPr>
        <w:t>E. 4</w:t>
      </w:r>
    </w:p>
    <w:p>
      <w:r>
        <w:t>Die Vorinstanz hat die Übernahme der Kosten in erster Linie mit dem Argument verweigert, es bestehe kein Anspruch auf Hilfsmittelversorgung in einem Haus, in dem der Versicherte nur jedes zweite Wochenende und einen Teil seiner Schulferien verbringe. Der Beschwerdeführer erblickt darin eine Verletzung des Diskriminierungsverbots (Art. 8 Abs. 2 der Bundesverfassung vom 18. April 1999 [BV; SR 101]) und des Rechts auf Familienleben ( Art. 14 BV , Art. 8 der Konvention vom 4. November 1950 zum Schutz der Menschenrechte und Grundfreiheiten [EMRK; SR 0.101]).</w:t>
      </w:r>
    </w:p>
    <w:p>
      <w:r>
        <w:rPr>
          <w:b/>
        </w:rPr>
        <w:t>E. 5</w:t>
      </w:r>
    </w:p>
    <w:p>
      <w:r>
        <w:t>Das Diskriminierungsverbot ( Art. 8 Abs. 2 BV ) verbietet dem Staat (und allenfalls im Rahmen von Art. 35 BV anderen Trägern staatlicher Aufgaben), Menschen wegen ihrer Behinderung gegenüber anderen Personen in vergleichbarer Situation qualifiziert ungleich zu behandeln, indem an das Merkmal der Behinderung eine Benachteiligung geknüpft wird, die als Herabwürdigung oder Ausgrenzung zu verstehen ist ( BGE 132 I 49 E. 8.1 S. 65, BGE 133 V 167 E. 3 S. 169; BGE 130 I 352 E. 6.1.2 S. 357). Eine derartige Herabwürdigung liegt nicht vor: Der Beschwerdeführer wird nicht vom Staat wegen seiner Behinderung benachteiligt gegenüber anderen Personen in vergleichbarer Situation. Benachteiligt wird er durch das Schicksal, d.h. durch die Folgen eines eingetretenen sozialen Risikos; der Staat unterstützt ihn vielmehr und erbringt ihm Leistungen, welche Nicht-Behinderte nicht erhalten. Es geht von vornherein nicht um eine staatliche Diskriminierung, sondern um die Frage, wieweit der Staat verpflichtet ist, eine - nicht vom Staat verursachte - faktische Benachteiligung auszugleichen. Ein solcher Leistungsanspruch ergibt sich aus dem Diskriminierungsverbot ( Art. 8 Abs. 2 BV ) grundsätzlich nicht; dieses verbürgt keinen BGE 134 I 105 S. 109 individualrechtlichen, gerichtlich durchsetzbaren Anspruch auf Herstellung faktischer Gleichheit (vgl. BGE 126 II 377 E. 6a S. 392 mit Hinweis; Urteil 2P.77/2000 vom 30. November 2000, E. 4b); es kann deshalb nicht schon dadurch verletzt sein, dass der Staat nicht jegliche schicksalsbedingte Benachteiligung vollständig ausgleicht. Einschlägig dafür ist vielmehr Art. 8 Abs. 4 BV , der indessen nur einen Gesetzgebungsauftrag, aber keine unmittelbar justiziablen Ansprüche enthält ( BGE 131 V 9 E. 3.5.1.2 S. 16; Urteile des Eidg. Versicherungsgerichts I 566/03 vom 24. April 2003, E. 4.5; I 68/02 vom 18. August 2005, E. 5.2.1; MARGRITH BIGLER-EGGENBERGER, in: Die schweizerische Bundesverfassung [St. Galler Kommentar], Zürich 2002, N. 102 zu Art. 8 BV ; GIOVANNI BIAGGINI, Bundesverfassung der Schweizerischen Eidgenossenschaft, Zürich 2007, N. 36 zu Art. 8 BV ; REGINA KIENER/WALTER KÄLIN, Grundrechte, Bern 2007, S. 371, 377). Die Frage einer Diskriminierung im Sinne von Art. 8 Abs. 2 BV würde sich nur dann stellen, wenn der Staat bei der Ausgestaltung seiner Leistungen Unterschiede schafft, die an eines der in Art. 8 Abs. 2 BV genannten, verpönten Unterscheidungsmerkmale anknüpfen (Herkunft, Rasse, Geschlecht, Alter, Sprache, soziale Stellung, Lebensform, religiöse, weltanschauliche oder politische Überzeugung oder körperliche, geistige oder psychische Behinderung; vgl. BGE 133 V 569 E. 5.5 S. 573, BGE 133 V 472 E. 5.3.1 S. 474 f.; BGE 131 V 9 E. 3.5.1.1 S. 16; BGE 127 V 121 E. 3b S. 127; BGE 126 V 70 E. 4c S. 73 f.; Urteil 2P.77/2000 vom 30. November 2000, E. 4d; siehe auch die bei EDGAR IMHOF, Die Bedeutung menschenrechtlicher Diskriminierungsverbote für die Soziale Sicherheit, in: Jusletter vom 7. Februar 2005, Ziff. II.5 zitierten Entscheide des Europäischen Gerichtshofes für Menschenrechte [EGMR]). Vorliegend wird indessen der Beschwerdeführer nicht wegen eines der in Art. 8 Abs. 2 BV genannten Kriterien schlechter behandelt als andere Versicherte in vergleichbarer Lage, sondern er verlangt im Gegenteil mit Rücksicht auf seine besondere Situation eine bevorzugte Behandlung, nämlich die Finanzierung von baulichen Änderungen in mehr als einer Wohnung. Damit ist Art. 8 Abs. 2 BV offensichtlich nicht verletzt.</w:t>
      </w:r>
    </w:p>
    <w:p>
      <w:r>
        <w:rPr>
          <w:b/>
        </w:rPr>
        <w:t>E. 6</w:t>
      </w:r>
    </w:p>
    <w:p>
      <w:r>
        <w:t>Der Beschwerdeführer rügt sodann eine Verletzung des Grundrechts auf Familie und Achtung des Familienlebens ( Art. 14 BV und Art. 8 EMRK ). Die Grundrechte richten sich in erster Linie als Abwehrrechte gegen den Staat und geben nur ausnahmsweise und punktuell verfassungsunmittelbare Leistungsansprüche BGE 134 I 105 S. 110 (ANDREAS AUER/GIORGIO MALINVERNI/MICHEL HOTTELIER, Droit constitutionnel suisse, Bd. II, 2. Aufl., Bern 2006, S. 77 f.; KIENER/KÄLIN, a.a.O., S. 33; ULRICH HÄFELIN/WALTER HALLER, Schweizerisches Bundesstaatsrecht, 6. Aufl., Zürich 2005, S. 80 ff.; BGE 129 I 12 E. 8.4 S. 23; BGE 127 I 84 E. 4b S. 88; BGE 126 II 300 E. 5 S. 314 f.). Namentlich liegt keine Verletzung von Grundrechten darin, dass die Sozialversicherung nicht alle durch die Behinderung verursachten Kosten übernimmt ( BGE 131 V 9 E. 3.4.2 S. 14; ZAK 1986 S. 336, E. 2d, I 480/84). Auch aus dem Grundrecht auf Achtung des Familienlebens kann grundsätzlich kein direkter Anspruch auf positive staatliche Leistungen abgeleitet werden, welche die Ausübung des Familienlebens ermöglichen ( BGE 120 V 1 E. 2a S. 4; Urteil des Eidg. Versicherungsgerichts H 310/93 vom 17. Februar 1994, E. 4b/aa). Jedoch ist bei der Auslegung sozialversicherungsrechtlicher Leistungsnormen sowie bei der Ermessenshandhabung den Grundrechten und verfassungsmässigen Grundsätzen Rechnung zu tragen, soweit dies im Rahmen von Art. 190 BV , wonach Bundesgesetze und Völkerrecht für das Bundesgericht und die anderen rechtsanwendenden Behörden massgebend sind, möglich ist ( BGE 126 V 334 E. 2d S. 340; BGE 118 V 206 E. 5b S. 211; BGE 113 V 22 E. 4d S. 32; Urteile des Eidg. Versicherungsgerichts I 750/04 vom 5. April 2006, E. 5.2, und I 68/02 vom 18. August 2005, E. 3.2). Es ist alsdann abzuwägen zwischen den grundrechtlich geschützten Positionen des Versicherten und dem Anliegen der Einfachheit und Zweckmässigkeit; auch unter grundrechtlichem Aspekt besteht kein Anspruch auf eine bestmögliche Eingliederung ( BGE 118 V 206 E. 5c S. 212; CHRISTIAN SCHÜRER, Grundrechtsbeschränkungen durch Nichtgewähren von Sozialversicherungsleistungen, in: AJP 1997 S. 8).</w:t>
      </w:r>
    </w:p>
    <w:p>
      <w:r>
        <w:rPr>
          <w:b/>
        </w:rPr>
        <w:t>E. 7</w:t>
      </w:r>
    </w:p>
    <w:p>
      <w:r>
        <w:t>Im Lichte des Dargelegten greift die Argumentation von Vorinstanz und Beschwerdegegnerin, es bestehe kein Anspruch auf Hilfsmittel in einer zweiten Wohnung, in dieser apodiktischen Fassung zu kurz. Sie trifft zweifellos zu für Ferienwohnungen oder andere Wohnungen, in denen sich jemand nur ganz sporadisch aufhält. Vorliegend ist jedoch zu berücksichtigen, dass der Beschwerdeführer einen durch das Grundrecht auf Familie geschützten Anspruch auf Verkehr mit seinen beiden Eltern hat, dies auch dann, wenn die Beziehung zwischen den Eltern beendet ist, die Eltern nicht mehr zusammenleben oder geschieden sind (Urteil des EGMR i.S. Ciliz gegen Niederlande vom 11. Juli 2000, Recueil CourEDH 2000-VIII S. 291 , Ziff. 59 mit Hinweisen; JENS MEYER-LADEWIG, BGE 134 I 105 S. 111 Europäische Menschenrechtskonvention, Handkommentar, 2. Aufl., Baden-Baden 2006, N. 19 zu Art. 8 EMRK ; Urteil des Bundesgerichts 1C_219/2007 vom 19. Oktober 2007, E. 2.3). Der Anspruch kann faktisch nicht verwirklicht werden, wenn der Beschwerdeführer infolge seiner Behinderung im Haus des Vaters nicht leben kann. Dieser Umstand ist bei der Beurteilung mit zu berücksichtigen.</w:t>
      </w:r>
    </w:p>
    <w:p>
      <w:r>
        <w:rPr>
          <w:b/>
        </w:rPr>
        <w:t>E. 8</w:t>
      </w:r>
    </w:p>
    <w:p>
      <w:r>
        <w:t>Die Vorinstanz hat einen Anspruch auf bauliche Änderungen in einer Zweitwohnung zwar grundsätzlich abgelehnt, aber subsidiär auch damit, dass der Aufwand nicht in einem angemessenen Verhältnis zum Eingliederungserfolg stünde: Der Beschwerdeführer wohne nur jedes zweite Wochenende und während eines Teils der Schulferien beim Vater, was nicht zu dem durch die Invalidenversicherung zu deckenden Grundbedarf gehöre.</w:t>
      </w:r>
    </w:p>
    <w:p>
      <w:r>
        <w:rPr>
          <w:b/>
        </w:rPr>
        <w:t>E. 8.1</w:t>
      </w:r>
    </w:p>
    <w:p>
      <w:r>
        <w:t>Auch im Lichte einer grundrechtlichen Würdigung sind die Grundsätze der Einfachheit, Angemessenheit und Verhältnismässigkeit der Hilfsmittelversorgung zu beachten (E. 3), ebenso der Grundsatz der zumutbaren Schadenminderungspflicht (E. 8.2).</w:t>
      </w:r>
    </w:p>
    <w:p>
      <w:r>
        <w:rPr>
          <w:b/>
        </w:rPr>
        <w:t>E. 8.2</w:t>
      </w:r>
    </w:p>
    <w:p>
      <w:r>
        <w:t>Als Richtschnur gilt, dass die Anforderungen an die Schadenminderungspflicht zulässigerweise dort strenger sind, wo eine erhöhte Inanspruchnahme der Invalidenversicherung (namentlich durch Bezug einer Rente oder bei einer grundlegend neuen Eingliederung) in Frage steht. Wo es hingegen um die Zusprechung oder Anpassung einzelner Eingliederungsleistungen im Rahmen von Verhältnissen geht, welche auf grundrechtlich geschützte Betätigungen des Versicherten zurückzuführen sind, ist bei der Berufung auf die Schadenminderungspflicht Zurückhaltung geboten. Vorbehalten bleiben Fälle, in denen die Dispositionen des Versicherten nach den Umständen als geradezu unvernünftig oder rechtsmissbräuchlich betrachtet werden müssen ( BGE 113 V 22 E. 4d S. 32 f.). Auf Grund der Schadenminderungspflicht kann in der Regel nicht zugemutet werden, einen anderen Wohnort zu suchen ( BGE 119 V 255 E. 2 S. 259). In BGE 113 V 22 E. 4e S. 33 sprach das Eidg. Versicherungsgericht einem Versicherten einen Anspruch auf Amortisationsbeiträge für ein Auto zu, weil er seinen Wohnsitz verlegte und nun für den Arbeitsweg ein Auto benötigte. Wie das Gericht erwog, wird der Grundsatz der Schadenminderung überspannt, wenn einem knapp 40-jährigen Teilerwerbstätigen der Anspruch auf die Beiträge für sein Auto mit dem Argument verweigert wird, es sei ihm zumutbar, während der ganzen verbleibenden BGE 134 I 105 S. 112 Aktivitätsdauer von über zwanzig Jahren am bisherigen Wohnort wohnhaft zu bleiben. Die Verlegung des Wohnsitzes war aber auch deswegen kein Verstoss gegen die Schadenminderungspflicht, weil der Versicherte angesichts seiner Behinderung bei jeder Distanz zwischen Wohn- und Arbeitsort auf ein Motorfahrzeug mit Automat angewiesen war. In BGE 118 V 255 wurden ebenfalls Kosten an ein Auto zugesprochen, welches der Versicherte für seinen Arbeitsweg an den neuen Arbeitsort benötigte. Wie das Gericht erwog, folgt aus der Schadenminderungspflicht angesichts der grundrechtlich geschützten Betätigungsmöglichkeiten in der Lebensgestaltung nicht die Pflicht, den Wohnort zu verlegen.</w:t>
      </w:r>
    </w:p>
    <w:p>
      <w:r>
        <w:rPr>
          <w:b/>
        </w:rPr>
        <w:t>E. 8.3</w:t>
      </w:r>
    </w:p>
    <w:p>
      <w:r>
        <w:t>Im Lichte dieser Rechtsprechung kann die Eingliederungsmassnahme nicht verweigert werden, wenn ohne sie der grundrechtlich geschützte Aufenthalt des Beschwerdeführers beim Vater völlig verunmöglicht würde. Nicht zumutbar wäre auch, wenn der Vater für die Besuche des Sohnes jeweils eine behindertengerechte Wohnung oder ein Hotelzimmer mieten müsste. Umgekehrt ist der Umstand zu berücksichtigen, dass der Aufenthaltsort beim Vater nicht der dauernde Wohnsitz ist. Rechtsprechungsgemäss können Familienangehörigen im Rahmen der familienrechtlichen Beistandspflicht im Einzelfall umfangreiche Hilfestellungen zugemutet werden (AHI 2003 S. 218, E. 2.3.3, I 90/02; SZS 2005 S. 210, E. 3.1, I 3/04). Dies gilt umso mehr, wenn der behinderte Sohn nicht regelmässig beim Vater lebt. Diesem können in dieser beschränkten Zeit tendenziell mehr Hilfeleistungen zugemutet werden als den Eltern eines ständig bei ihnen lebenden behinderten Kindes. Hinzu kommt, dass der Zustand voraussichtlich nicht dauernd ist. Es geht hier primär um eine Hilfsmittelversorgung für den Zeitraum zwischen dem Unfall im zwölften Lebensjahr und dem Schulabschluss; zusätzlich bringt der Beschwerdeführer vor, er werde die Berufslehre in S. absolvieren und während dieser Zeit permanent beim Vater und der Schwester wohnen. Es bleibt aber offen, ob der Beschwerdeführer auch später noch regelmässig beim Vater weilen wird.</w:t>
      </w:r>
    </w:p>
    <w:p>
      <w:r>
        <w:rPr>
          <w:b/>
        </w:rPr>
        <w:t>E. 9</w:t>
      </w:r>
    </w:p>
    <w:p>
      <w:r>
        <w:t>Wie bereits dargelegt (E. 3), will das Gesetz die Eingliederung soweit sicherstellen, als sie im Einzelfall notwendig, aber auch genügend ist und zudem der voraussichtliche Erfolg der Eingliederungsmassnahme in einem vernünftigen Verhältnis zu ihren Kosten steht. Die Akten erlauben keine abschliessende Würdigung dazu, ob mit den Anpassungen am Wohnhaus des Vaters in S. den BGE 134 I 105 S. 113 genannten Ansprüchen Genüge getan wird. Die vom Schweizer Paraplegiker Zentrum veranschlagten Kosten für behinderungsgerechte Anpassungen von insgesamt Fr. 91'152.60 erachtet das SAHB Hilfsmittel-Zentrum als zu hoch, weil die Anpassungen zum Teil überdimensioniert und bei Abstellen auf Erfahrungswerte der SAHB ein einfacher und zweckmässiger Umbau auf Fr. 40'856.75 zu stehen kommt. Nach dem in E. 8 Ausgeführten bildet unter den konkreten Verhältnissen der letzterwähnte Betrag die oberste Grenze für die von der Beschwerdegegnerin zu sprechende Eingliederungsmassnahme. Es ist aber offen, ob nicht auch bei dem vom Hilfsmittel-Zentrum vorgeschlagenen Projekt noch gewisse Selbsthilfemassnahmen denkbar sind, zum Beispiel um Türschwellen zu überwinden oder das Badezimmer aufzusuchen. Die Sache ist zur näheren Abklärung an die Invalidenversicherung zurückzuweisen. Angesichts des Umstands, dass es sich beim Wohnhaus des Vaters um die zweite vom Beschwerdeführer benutzte Wohnung handelt, besteht nur Anspruch auf einen behinderungsgerechten Umbau in einfachster Ausführung, welcher unter Berücksichtigung der dem Vater zumutbaren Hilfestellungen dem Beschwerdeführer den Aufenthalt in dessen Haus gerade noch ermöglicht.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